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26.08.2021, оставленным без изменения постановлением Девятого арбитражного апелляционного суда от 10.11.2021 и постановлением Арбитражного суда Московского округа от 16.02.2022, в удовлетворении заявления отказано. В кассационной жалобе Балог А.М. просит об отмене судебных актов, ссылаясь на неисследование обстоятельств дела и лишение возможности представления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Исследованные обстоятельства возникновения заемных обязательств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находящемуся в банкротстве должнику. Судом не допущено нарушения обязанности извещения кредитора о рассмотрении дела. Приведенные в жалобе доводы рассмотрены и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Балогу Андрею Михаевичу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