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02.09.2021, оставленным без изменения постановлениями Девятого арбитражного апелляционного суда от 29.11.2021 и Арбитражного суда Московского округа от 22.02.2022, в удовлетворении заявленных требований отказано. В жалобе общество ставит вопрос об отмене принятых по делу судебных актов, ссылаясь на существенное нарушение судами норм материального права. 2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результатам рассмотрения жалобы ООО «Терра Пром Групп» на действия общества при проведении конкурса в электронной форме на право заключения договора на оказание услуг по комплексному обслуживанию зданий и прилегающей территории к зданиям, выразившиеся в ненадлежащем формировании закупочной документации, антимонопольным органом принято решение. Управлением жалоба ООО «Терра Пром Групп» признана обоснованной, общество - нарушившим пункт 2 части 1 статьи 3 Федерального закона от 18.07.2011 № 223-ФЗ «О закупках товаров, работ, услуг отдельными видами юридических лиц» (далее – Закон о закупках). Основанием для принятия решения послужили выводы антимонопольного органа о неправомерном установлении обществом в закупочной документации требования об оказании услуг по уборке помещений на территории объекта, имеющего режимно-секретное подразделение, силами граждан Российской Федерации, а также о сравнении ценовых предложений участников закупки по цене без учета налога на добавленную стоимость (далее - НДС). Предписанием управление на общество возложена обязанность устранить допущенные нарушения. Считая ненормативные правовые акты антимонопольного органа недействительными, общество обратилось в арбитражный суд. Исследовав и оценив представленные в материалы дела доказательства в соответствии со статьей 71 Арбитражного процессуального кодекса Российской Федерации, руководствуясь положениями Закона о закупках, суды пришли к выводу о соответствии решения и предписания антимонопольного органа 3 требованиям действующего законодательства, об отсутствии оснований для признания нарушенными прав и законных интересов заявителя. Вывод судов соответствует правовому подходу, изложенному в пункте 33 Обзора судебной практики Верховного Суда Российской Федерации № 3 (2021), утвержденного постановлением Президиума Верховного Суда Российской Федерации 10.11.2021. Доводы жалобы основаны на неверном толковании положений законодательства, не опровергают выводы судов, не подтверждают существенных нарушений судами норм материального и (или) процессуального права и не могут служить основанием для передачи жалобы на рассмотрение Судебной коллегии Верховного Суда Российской Федерации.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«Системный оператор Единой энергетической системы»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