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21.09.2021 взыскано 900 000 рублей пеней. Девятый арбитражный апелляционный суд постановлением от 15.12.2021 изменил решение от 21.09.2021, уменьшив пени и взыскав их в сумме 295 291 рубля 44 копеек. Арбитражный суд Московского округа постановлением от 05.03.2022 постановление апелляционного суда от 15.12.2021 оставил без изменения. В кассационной жалобе компания просит об отмене судебных актов апелляционного и окружного судов, ссылаясь на неисследованность возможности станции назначения принять груз независимо от заявки грузополучателя.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срок доставки грузов по части накладным был увеличен по заявке грузополучателя, поэтому руководствуясь статьями 33, 97 Федерального закона от 10.01.2003 № 18-ФЗ «Устав железнодорожного транспорта Российской Федерации» и статьей 333 Гражданского кодекса Российской Федерации взыскал пени с учетом указанного обстоятельства. Довод компании о неисследовании возможности ответчика избежать увеличения срока доставки не опровергает установленную судами невозможность приема груза железнодорожной станцией назначения по причинам, зависящим от грузополучателя.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«Нефтехимическая транспортная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