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05.10.2021 требование общества «ЕвроПарк» в размере 6 265 186 рублей 48 копеек включено в третью очередь реестра. Третий арбитражный апелляционный суд постановлением от 28.01.2022 отменил определение от 05.10.2021 в удовлетворенной части заявления и отказал в его удовлетворении. Арбитражный суд Восточно-Сибирского округа от 25.03.2022 постановление апелляционного суда от 28.01.2022 оставил без изменения. В кассационной жалобе общество «ЕвроПарк» просит об отмене судебных актов, ссылаясь на отсутствие правовых оснований для отказа во включении в реестр требования, подтвержденного решением суда общей юрисдикции.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способствование кредитором образованию задолженности во вред должнику, препятствующее в силу статьи 10 Гражданского кодекса Российской Федерации включению ее в реестр должника. Наличие судебного акта о взыскании задолженности в общеисковом порядке не исключает применения в деле о банкротстве последствий злоупотребления правами.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«ЕвроПарк»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