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31.08.2021, оставленным без изменения постановлением Седьмого арбитражного апелляционного суда от 18.01.2022 и постановлением Арбитражного суда Западно-Сибирского округа от 31.03.2022,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выездная налоговая проверка общества по вопросам правильности исчисления и своевременности уплаты (удержания, перечисления) всех налогов и сборов, страховых взносов за период с 01.01.2016 по 31.12.2017, налога на доходы с физических лиц за период с 01.01.2016 по 30.06.2018. По результатам проверки составлен акт и принято решение, которым общество привлечено к налоговой ответственности, предусмотренной пунктом 3 статьи 122 Налогового кодекса Российской Федерации (далее – Налоговый кодекс), в виде штрафа в размере 135 696 рублей 95 копеек (с учетом смягчающих ответственность обстоятельств сумма штрафа снижена в 8 раз), доначислено 3 077 615 рублей налога на добавленную стоимость (далее – НДС) и 2 713 939 рублей налога на прибыль организаций, начислены пени за неуплату налога на прибыль в сумме 2 024 168 рублей 30 копеек. Основанием для доначисления налогов, начисления пеней и штрафа послужил вывод налогового органа о занижении обществом налоговой базы в связи с неправомерным включением в состав расходов затрат по хозяйственным операциям оказания услуг спецтехники с экипажем и грузоперевозки по договорам, заключенным с ООО «Транспортное Бюро» и ООО «Палитра», а также необоснованным применением налоговых вычетов на основании документов, выставленных от имени указанных контрагентов. Признавая решение инспекции законным, суды, оценив представленные в материалы дела доказательства, руководствуясь положениями статей 54.1, 169, 171, 172, 247, 252 Налогового кодекса,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доказанности инспекцией совокупности обстоятельств, свидетельствующих о направленности действий общества на получение из бюджета необоснованной налоговой выгоды. Суды установили, что представленные обществом первичные документы содержат недостоверные сведения и не подтверждают реального оказания услуг спорными контрагентами, не обладающими необходимыми для 3 совершения хозяйственных операций трудовыми, материальными и техническими ресурсами. Фактически услуги оказаны иными лицами, отношения с которыми заявителем не раскрыты. Имеет место искажение заявителем сведений о финансово-хозяйственной деятельности в целях неуплаты в бюджет НДС и налога на прибыль организаций. Доводы, изложенные в кассационной жалобе, в том числе о наличии у налогового органа информации о реальных контрагентах общества, фактическом оказании услуг и несения расходов на их оплату, необходимости применения статьи 54.1 Налогового кодекса, являлись предметом рассмотрения судов и получили надлежащую правовую оценку с учетом требований налогового законодательства и правовых позиций, изложенных в пункте 34 Обзора судебной практики Верховного Суда Российской Федерации № 2 (2021) и пункте 39 Обзора судебной практики Верховного Суда Российской Федерации № 3 (2021), утвержденных Президиумом Верховного Суда Российской Федерации 30.06.2021 и 10.11.2021 соответственно. Существенного нарушения норм материального права, а также требований процессуального законодательства, повлиявших на исход судебного разбирательства, судами не допущено. При таких обстоятельствах, оснований для передачи кассационной жалобы на рассмотрение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«Транс-Сиб-К»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