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02.06.2021 исковое требование АО «РОКБА» удовлетворено, в удовлетворении встречного искового заявления АО «СНИИП» отказано. Определением от 15.07.2021 апелляционный суд перешел к рассмотрению дела по правилам, установленным для рассмотрения дела в суде первой инстанции. Постановлением Девятого арбитражного апелляционного суда от 15.10.2021 решение суда первой инстанции отменено, исковое требование АО «РОКБА» удовлетворено, в удовлетворении встречного искового заявления АО «СНИИП» отказано. 2 Арбитражный суд Московского округа постановлением от 14.02.2022 отменил постановление суда апелляционной инстанции и направил дело на новое рассмотрение в Арбитражный суд города Москвы. В кассационной жалобе, поданной в Верховный Суд Российской Федерации, АО «РОКБА» просит отменить постановление суда округа, ссылаясь на существенное нарушение норм права, и оставить в силе постановление апелляционного суда.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АО «СНИИП» (заказчик) и АО «РОКБА» (исполнитель) заключен договор на изготовление и передачу в собственность продукции – микрокомпрессора МКМ-20 АПЩА 130.00.000 в количестве 56 штук с приемкой отдела технического контроля и военной приемкой. В обоснование искового требования АО «РОКБА» ссылалось на то, что поставленная продукция полностью соответствует условиям договора по качеству и составу товаросопроводительной документации, принята заказчиком в установленном порядке, однако обязанность по оплате в полном объеме АО «СНИИП» не исполнена. Встречные исковые требования мотивированы ненадлежащим исполнением АО «РОКБА» принятых на себя по договору обязательств. Отменяя судебные акты и направляя дело на новое рассмотрение, суд округа, не принимая какого-либо решения по существу спора, указал на необходимость установить все обстоятельства, имеющие значение для правильного разрешения дела, дать оценку всем представленным в материалы дела доказательствам и доводам сторон. Суд кассационной инстанции действовал в пределах полномочий, установленных статьями 286 и 287 Арбитражного процессуального кодекса Российской Федерации. Отмена судебных актов и направление дела на новое рассмотрение обусловлены необходимостью соблюдения требований арбитражного процессуального законодательства о всестороннем, полном и объективном исследовании доказательств по делу с целью рассмотрения всех обстоятельств 3 и доводов, на которые ссылаются участвующие в деле лица, а также правильного применения норм материального права.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 таких обстоятельствах отсутствуют основания для передачи кассационной жалобы в Судебную коллегию по экономическим спорам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«Редкинское опытно-конструкторское бюро автоматики»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