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15.09.2021, оставленным без изменения постановлением Шестнадцатого арбитражного апелляционного суда от 03.12.2021 и постановлением Арбитражного суда Северо-Кавказского округа от 17.03.2022, исковое заявление товарищества возвращено. В кассационной жалобе, поданной в Верховный Суд Российской Федерации, товарищество и Аванесян С.А., ссылаясь на незаконность указанных судебных актов, просят их отменить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Возвращая исковое заявление товарищества и Аванесяна С.А., суд первой инстанции руководствовался статьями 27, 28, 29, 129 Арбитражного процессуального кодекса Российской Федерации и исходил из того, что настоящий спор не относится к компетенции арбитражного суда, не имеет экономический характер, не связан с осуществлением предпринимательской и иной экономической деятельности, обусловлен интересами, в частности, физических лиц. Суды апелляционной инстанции и округа поддержали выводы суда первой инстанции. Изложенные в кассационной жалобе доводы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пересмотра обжалуемых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«Никольская 15А» и Аванесяна Сурена Арминаковича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