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27.04.2021, оставленным без изменения постановлениями Тринадцатого арбитражного апелляционного суда от 28.09.2021 и Арбитражного суда Северо-Западного округа от 10.03.2022, в удовлетворении заявленных требований отказано. В жалобе общество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предпринимателя на действия общества при проведении запроса котировок в электронной форме, участниками которого могут быть только субъекты малого и среднего предпринимательства, на право заключения договора на комплексную уборку помещений медсанчасти Московской печатной фабрики, выразившиеся в установлении в извещении о проведении закупки условия о сравнении ценовых предложений участников закупки, применяющих разные системы налогообложения, по цене без учета налога на добавленную стоимость (далее - НДС), антимонопольным органом принято решение. Управлением жалоба предпринимателя признана обоснованной, общество - нарушившим пункт 2 части 1 статьи 3, часть 9 статьи 3.2 Федерального закона от 18.07.2011 № 223-ФЗ «О закупках товаров, работ, услуг отдельными видами юридических лиц» (далее – Закон о закупках). Предписанием управления на общество возложена обязанность устранить допущенные нарушения. Считая ненормативные правовые акты антимонопольного органа недействительными, общество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суды пришли к выводу о соответствии решения и предписания антимонопольного органа требованиям действующего законодательства, об отсутствии оснований для признания нарушенными прав и законных интересов заявителя. 3 При этом судебные инстанции исходили из того, что закупочная документация содержит различные правила сравнения ценовых предложений участников закупки в зависимости от применяемых ими систем налогообложения, что свидетельствует о создании заказчиком преимущественных условий для отдельных участников – плательщиков НДС по сравнению с участниками - не являющимися плательщиками данного налога. Вывод судов трех инстанций соответствует правовому подходу, изложенному в пункте 33 Обзора судебной практики Верховного Суда Российской Федерации № 3 (2021), утвержденного постановлением Президиума Верховного Суда Российской Федерации 10.11.2021. Доводы жалобы основаны на неверном толковании положений законодательства,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«Гознак»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