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01.07.2021, оставленным без изменения постановлением Семнадцатого арбитражного апелляционного суда от 29.09.2021 и постановлением Арбитражного суда Уральского округа от 10.02.2022, исковое заявление удовлетворено частично, на ответчика возложена обязанность в течение двух месяцев с даты вступления решения суда в законную силу безвозмездно устранить недостатки работ, выполненных по муниципальным контрактам от 11.03.2016 № МК-1, МК-2, а именно: по устройству узла парапета к кровле жилого дома по всей площади кровли в части невыполнения требований проекта шифр МК 1/2-16-36-АР лист 12: «экспликация покрытий, спецификация к элементам кровли»; по устройству шахт вентиляционных каналов в части невыполнения требований проекта шифр МК 1/2-16-36-АР лист 13: «спецификация элементов зонтов»; по монтажу фасадной плитки цоколя по всей площади фасада в части невыполнения требований п. 7.4.6 СП 71.13330.2017 «Изоляционные и отделочные покрытия», с общества в пользу учреждения взыскано 516 540 рублей 97 копеек штрафа.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(участник) и обществом (застройщик) заключены муниципальные контракты от 11.03.2016 № МК-1, МК-2 долевого участия в строительстве жилых помещений в Городском округе Верхняя Тура Свердловской области для переселения граждан из жилых помещений, признанных непригодными для проживания и (или) с высоким уровнем износа. Работы застройщиком выполнены, участником оплачены в полном объеме. В течение гарантийного срока учреждением выявлены недостатки и дефекты в работе, выполненной застройщиком, в отсутствие надлежащим образом извещенного общества проведено обследование, о чем составлен соответствующий акт и направлена претензия об устранении выявленных дефектов. Выявленные нарушения обществом не устранены, в связи с чем учреждение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учитывая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удовлетворения заявленных требований, снизив размер заявленных истцом штрафных санкций до 516 540 рублей 97 копеек, исходя из процентной ставки в размере 1 процента, установленной при суммарной цене двух контрактов, заключенных с целью строительства одного объекта. Судебные инстанции исходили из доказанности учреждением ненадлежащего исполнения обществом гарантийных обязательств, что повлекло начисление штрафных санкций на основании пункта 5.5 контрактов.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«СУ5Групп»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АНО МУНИЦИПАЛЬНОЕ КАЗЕННОЕ УЧРЕЖДЕНИЕ СЛУЖБА ЕДИНОГО ЗАКАЗЧИКА (подробнее) ООО Независимая экспертиза (подробнее) Ответчики: ООО "СУ5ГРУПП"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