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18.06.2021, оставленным без изменения постановлением Четырнадцатого арбитражного апелляционного суда от 06.10.2021 и постановлением Арбитражного суда Северо-Западного округа от 15.02.2022, заявление удовлетворено. В кассационной жалобе, поданной в Верховный Суд Российской Федерации, жилищная инспекция,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жилищной инспекцией проведена внеплановая выездная проверка соблюдения обществом обязательных требований при предоставлении коммунальной услуги по отоплению жителям многоквартирного дома. В ходе проверки жилищной инспекцией установлено, что обществом не обеспечено предоставление коммунальной услуги по отоплению надлежащего качества, температура воздуха в жилом помещении (угловой комнате) в одной из квартир указанного дома составила +17,2°C, что не соответствует нормативным требованиям, о чем составлен акт от 16.02.2021 № 177/ОГ-21 и вынесено предписание от 16.02.2021 № 177/ОГ-21 об устранении выявленных нарушений. Не согласившись с предписанием жилищной инспекции, общество обратилось в арбитражный суд. Удовлетворяя заявление, суды первой и апелляционной инстанций, исследовав и оценив представленные в материалы дела доказательства,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пришли к выводу о том, что предписание жилищной инспекции не соответствует положениям действующего законодательства и нарушает права и законные интересы общества, с чем согласился суд округа. Судебные инстанции исходили из обеспечения обществом соответствия температуры теплоносителя на центральном тепловом пункте температурному графику. Суды указали, что организация, осуществляющая поставку ресурсов, не должна нести бремя негативных последствий за содержание управляющей организацией общего имущества многоквартирного дома в состоянии, не обеспечивающем поддержание нормативной температуры воздуха в жилых помещениях, отметив, что температура воздуха в жилых помещениях зависит не только от температуры теплоносителя в подающем трубопроводе, но и от 3 других факторов, в том числе утепления окон, дверей, качественного состояния внутридомовых коммуникаций. Доводы жилищной инспекции, изложенные в кассационной жалобе, являлись предметом рассмотрения судов трех инстанций, не опровергают их выводы и не подтверждают существенного нарушения норм материального и процессуального права, повлиявших на исход дела. Приведенные доводы направлены на переоценку установленных судами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«Государственная жилищная инспекция»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