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13.08.2021 с общества в пользу компании взыскано 6 507 395 руб. 28 коп. задолженности, 46 261 руб. 89 коп. расходов по уплате государственной пошлины, общество обязано подписать с компанией итоговый акт приемки работ по договору подряда от 28.11.2018 № 2119/2811, в удовлетворении остальной части первоначальных исковых требований и в удовлетворении встречного иска отказано. 2 Постановлением Девятого арбитражного апелляционного суда от 12.11.2021 произведена замена истца – компании на общество с ограниченной ответственностью «ПромГрупп» (далее – общество «ПромГрупп») в порядке процессуального правопреемства, решение суда первой инстанции оставлено без изменения, с общества в пользу общества «ПромГрупп» взыскано 59 670 руб. судебных расходов на оплату услуг представителя. Постановлением Арбитражного суда Московского округа от 04.03.2022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предъявленные взаимные требования компании (подрядчик) и общества (заказчик) основаны на договоре подряда от 28.11.2018 № 2119/2811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факт выполнения подрядчиком работ по договору, направление им актов КС-2, КС-3 и итогового акта приемки результата работ заказчику, отсутствие мотивированного отказа последнего от их подписания и неисполнение им обязательств по оплате. При таких обстоятельствах, руководствуясь статьями 12, 309, 310, 702, 709, 711, 740, 743, 746, 743 Гражданского кодекса Российской Федерации, учитывая, что объект, на котором выполнялись работы, введен в эксплуатацию; доказательств выполнения спорных работ своими силами либо силами иных привлеченных организаций заказчиком не представлено; отказ от исполнения договора направлен заказчиком после ввода объекта в эксплуатацию и предъявления подрядчиком выполненных работ к оплате, то есть после фактического исполнения сторонами договора, не установив вины подрядчика в просрочке исполнения обязательств по договору, а также обстоятельств, препятствующих заказчику подписать итоговый акт приемки результата работ, суды пришли 3 к выводу о наличии оснований для удовлетворения первоначальных исковых требований в части взыскания с общества задолженности по договору, возложения на него обязанности подписать итоговый акт и отказа в удовлетворении встречного иска. Удовлетворяя заявление истца о взыскании судебных расходов, суд апелляционной инстанции оценил представленные доказательства, признал подтвержденным факт несения истцом судебных расходов на оплату услуг представителя, принял во внимание принцип пропорциональности распределения судебных расходов удовлетворенным требованиям и отсутствие доказательств чрезмерности взыскиваемых расходов. Суд округа поддержал выводы судов первой и апелляционной инстанций. Довод заявителя о нарушении судом апелляционной инстанции положений статьи 112 Арбитражного процессуального кодекса Российской Федерации был рассмотрен судом округа и отклонен. Оснований для иных выводов, исходя из доводов кассационной жалобы, не имеется. Иные доводы кассационной жалобы также являлись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«СВАРГО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