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24.08.2021 обществу «ГлавСтройСервис» отказано в удовлетворении заявления о процессуальном правопреемстве, определением от 31.08.2021 прекращено производство по делу на основании пункта 5 части 1 статьи 150 Арбитражного процессуального кодекса Российской Федерации. Девятый арбитражный апелляционный суд постановлением от 19.11.2021 отменил определения от 24.08.2021 и от 31.08.2021, произвел замену истца – общества с ограниченной ответственностью «ТверьДомСтрой» на общество с ограниченной ответственностью «ГлавСтройСервис и направил дело новое рассмотрение в Арбитражный суд города Москвы. Арбитражный суд Московского округа постановлением от 07.02.2022 отменил постановление апелляционного суда от 19.11.2021 и оставил в силе определения от 24.08.2021 и от 31.08.2021. 2 В кассационной жалобе общество «ГлавСтройСервис» просит отменить судебные акты, ссылаясь на противоречие их статье 48 Арбитражного процессуального кодекса Российской Федерации и нарушение единообразия в толковании и применении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 цессии заключен в период нахождения дела в суде первоначальным истцом (впоследствии прекратившимся), осведомленным о предъявлении к нему встречного иска, но не переведшего свой возможный долг перед ответчиком, поэтому суды в соответствии с пунктом 33 постановления Пленума Верховного Суда Российской Федерации от 21.12.20177 № 54 «О некоторых вопросах применения положений главы 24 Гражданского кодекса Российской Федерации о перемене лиц в обязательстве на основании сделки» отказали в процессуальном правопреемстве и прекратили производство по делу в связи с ликвидацией цедента (истца по первоначальному иску).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«ГлавСтройСервис»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