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15.12.2021, оставленным без изменения определением того же суда от 19.01.2022, в удовлетворении ходатайства заявителя о восстановлении срока на подачу кассационной жалобы на определение Арбитражного суда города Москвы от 22.07.2021 и постановление Девятого арбитражного апелляционного суда от 29.09.2021 отказано, жалоба возвращена. В кассационной жалобе Ким С.А. просит об отмене судебных актов окружного суда, ссылаясь на наличие основания для восстановления срока и ошибочность вывода о наличии возможности обращения с кассационной жалобой в установленный законом срок.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 округа оценил приведенную причину пропуска срока на подачу кассационной жалобы срок и установил отсутствие у нее объективного характера. Названные подателем жалобы причины пропуска срока на подачу кассационной жалобы возникли после истечения указанного срока, вследствие чего не приняты судами и отказ в восстановлении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