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26.07.2021, оставленным без изменения постановлением Девятого арбитражного апелляционного суда от 17.09.2021 и постановлением Арбитражного суда Московского округа от 08.02.2022, требование Комиссарова Д.Г. в общей сумме 29 882 044 рублей включено в третью очередь реестра как обеспеченное залогом имущества должника. В кассационной жалобе Седова М.П. просит об отмене судебных актов, ссылаясь на недобросовестность кредитора, заинтересованность окружного суда и нарушение ее процессуальных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проверили заявленное требование на соответствие критериям статей 71, 100 Федерального закона от 26.10.2002 № 127-ФЗ «О несостоятельности (банкротстве)» и пункту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включения в реестр находящегося в банкротстве должника. Судебные заседания в судах первой и апелляционной инстанций проходили с участием Седовой М.П,, поэтому ее довод о нарушении процессуальных прав является неосновательным. Наличия препятствий (статья 21 Арбитражного процессуального кодекса Российской Федерации) для рассмотрения судьями окружного суда заявления не подтверждено.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Седовой М.П.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