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Асханов И.Н. и Стюхин В.Г. обратились в суд с заявлением о признании недействительным договора № 20-19 аренды оборудования (технических средств) от 18.06.2019, заключенным между должником и индивидуальным предпринимателем Мухаметовым Алмазом Наилевичем, применении последствий недействительности сделки. Определением Арбитражного суда Республики Татарстан от 20.10.2021, оставленным без изменения постановлениями Одиннадцатого арбитражного апелляционного суда от 03.12.2021 и постановление Арбитражного суда Поволжского округа от 16.02.2022, заявление оставлено без рассмотрения. В кассационной жалобе, поданной в Верховный Суд Российской Федерации, заявители просят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без рассмотрения и подтверждая его законность, суды, руководствуясь пунктом 7 части 1 статьи 148 Арбитражного процессуального кодекса Российской Федерации, статьями 61.8, 61.9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Федерального закона «О несостоятельности (банкротстве)», исходили из того, что обратившиеся с ним лица (участники должника) не вправе оспаривать сделки последнего по заявленным основаниям в рамках дела о банкротстве должника. Выводы судов соответствуют нормам права, оснований для переоценки этих выводов не имеется. Несогласие заявителей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Асханову Ильясу Ниловичу, Стюхину Владимиру Геннадьевичу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