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08.07.2021, оставленным без изменения постановлением Девятого арбитражного апелляционного суда от 25.10.2021 и постановлением Арбитражного суда Московского округа от 25.02.2022,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Департаментом имущества города Москвы (арендодатель) и обществом (арендатор) заключен договор аренды нежилого фонда (нежилого помещения, здания, сооружения), находящегося в собственности Москвы. Объект аренды передан для использования под общественное питание. Распоряжением от 26.09.2019 нежилое помещение передано на праве хозяйственного ведения предприятию. Правомерность передачи объекта подтверждена вступившим в законную силу решением Арбитражного суда города Москвы от 07.08.2020 по делу № А40-325413/2019. Общество письмом от 08.12.2020 обратилось к предприятию с заявлением о предоставлении экономической поддержки бизнеса в условиях режима повышенной готовности по решению Правительства Москвы от 24.03.2020 № 212-ПП и о направлении в адрес заявителя дополнительного соглашения к договору аренды во исполнение Федерального закона от 21.03.1994 № 68-ФЗ «О защите населения и территорий от чрезвычайных ситуаций природного и техногенного характера» и постановления Правительства Российской Федерации от 03.04.20 № 439. В предоставлении поддержки и заключении дополнительного соглашения 30.12.2020 обществу отказано. Считая отказ предприятия незаконным, общество обратилось в арбитражный суд. Оценив представленные в материалы дела доказательства, суды, руководствуясь положениями статей 198, 200, 201 Арбитражного процессуального кодекса Российской Федерации, пунктами 3.2, 3.3 постановления Правительства Москвы № 212-ПП, правовой позицией, изложенной в Обзоре по отдельным вопросам судебной практики, связанным с применением законодательства и мер по противодействию распространению на территории Российской Федерации новой коронавирусной инфекции (COVID-19) № 2, утвержденном Президиумом Верховного Суда Российской Федерации 30.04.2020 (вопрос 3), пришли к выводу о том, что оспариваемый отказ вынесен предприятием с соблюдением требований действующего законодательства, не препятствует осуществлению деятельности заявителя и не нарушает его прав и законных интересов в сфере экономической деятельности. Судебные инстанции исходили из того, что действия общества направлены не на получение экономической поддержки, а на уход от 3 ответственности за нарушение условий договора аренды. В частности, в процессе реализации права хозяйственного ведения предприятием установлено, что арендатор пользовался объектом с существенными нарушениями порядка содержания и пользования объектом, установленными договором аренды (без согласия арендодателя передал объект в субаренду, провел перепланировку и переоборудование, а также не вносил арендную плату более 15 месяцев). При этом договор аренды расторгнут предприятием в одностороннем порядке и на дату обращения в суд общество арендатором спорного помещения не являлось. Доводы, приведенные в кассационной жалобе, не опровергают выводы судов, не свидетельствуют о существенном нарушении судами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«ЖАСМИН»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