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имущественных отношений Иркутской области удовлетворить. Срок подачи кассационной жалобы на решение Арбитражного суда Иркутской области 24.08.2021, постановление Четвертого арбитражного апелляционного суда от 18.11.2021 и постановление Арбитражного суда Восточно-Сибирского округа от 25.02.2022 по делу № А19-4946/2021 восстановить.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