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суда первой инстанции от 31.08.2020, оставленным без изменения постановлением апелляционного суда от 10.12.2020, завершена процедура реализации имущества должника, ФИО1 освобождена от дальнейшего исполнения обязательств, в том числе требований кредиторов, не заявленных при реализации имущества гражданина. Постановлением окружного суда от 19.02.2021 названные судебные акты отменены в части вывода об освобождении должника от исполнения обязательств, в данной части дело направлено на новое рассмотрение в Арбитражный суд Алтайского края. В кассационной жалобе, поданной в Верховный Суд Российской Федерации, заявитель указывает на нарушения в толковании и применении судом округа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В силу положений статьи 286 АПК РФ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нижестоящих инстанций и направляя спор на новое рассмотрение, суд округа, не принимая какого-либо решения по существу спора, указал на необходимость исследования судом имеющих значение для правильного рассмотрения дела обстоятельств с учетом подлежащих применению норм материального права и проверки доводов сторон. Таким образом, суд кассационной инстанции не вышел за пределы своих полномочий, обязав нижестоящий суд исследовать существенные для правильного разрешения спора обстоятельства. При новом рассмотрении спора заявитель не лишен возможности изложить свои доводы и представить соответствующие доказательства. Оснований, по которым возможно не согласиться с выводами окружного суда, заявителем не приведено. Нарушений норм процессуального права, влекущих безусловную отмену судебного акта, судом кассационной инстанции не допущено.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С.В.Самуйлов Суд: Верховный Суд РФ (подробнее) Истцы: МИФНС России №14 по Алтайскому краю. (подробнее) ОСП Октябрьского района г. Барнаула (подробнее) Иные лица: Союз СРО "СЕМТЭК" (подробнее) СРО Союз арбитражных управляющих "СЕМТЭК" (подробнее) Управление Федеральной службы государственной регистрации,кадастра и картографии по АК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