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27.08.2021, оставленным без изменения постановлением Седьмого арбитражного апелляционного суда от 21.12.2021 и постановлением Арбитражного суда Западно-Сибирского округа от 03.03.2022, в удовлетворении заявления отказано. В кассационной жалобе общество «Солнечное» просит об отмене судебных актов, ссылаясь на нарушение права на судебную защиту и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определили начало течения срока исковой давности в отношении заявленного требования по правилу статьи 200 Гражданского кодекса Российской Федерации. Довод о нарушении права на судебную защиту и процессуальных норм не принят судами, установившими отзыв первоначального заявления о спорном требовании представителем кредитора, не влекущий возникновения основания (статьи 202-204 Гражданского кодекса Российской Федерации) для иного исчисления срока исковой давности. Аналогичный довод, приведенный в жалобе,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«Солнечное»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