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Костромской области от 10.06.2021, оставленным без изменения постановлением Второго арбитражного апелляционного суда от 17.09.2021 и постановлением Арбитражного суда Волго-Вятского округа от 08.02.2022, иск удовлетворен. В кассационной жалобе, поданной в Верховный Суд Российской Федерации, управление,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отказе в удовлетворении иска.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Разрешая спор и удовлетворяя иск, суды первой и апелляционной инстанций, с которыми впоследствии согласился суд округа,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393, 689, 695, 696 Гражданского кодекса Российской Федерации, исходили из доказанности истцом наличия совокупности условий, необходимых для взыскания с ответчика убытков. Выводы судов подробно мотивированы в обжалуемых судебных актах, основаны на представленных в материалы дела доказательствах и установленных на их основании фактических обстоятельствах. Доводы кассационной жалобы не подтверждают существенных нарушений судами норм материального и (или)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Заявленное управлением ходатайство о приостановлении исполнения обжалуемых судебных актов рассмотрению не подлежит, поскольку в передаче его кассационной жалобы для рассмотрения в судебном заседании Судебной коллегии Верховного Суда Российской Федерации отказано.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Управления Министерства внутренних дел Российской Федерации по городу Костроме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