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«Даником»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о взыскании с ООО «УСТ-офисная недвижимость» 90 000 000 рублей задолженности по договору займа от 05.10.2011 № CFU-0510 и 73 967 802 рублей 60 копеек процентов за пользование займом за период с 08.10.2011 по 03.12.2020, а также 24 476 979 рублей 66 копеек процентов за пользование чужими денежными средствами за период с 29.03.2018 по 03.12.2020; 350 000 000 рублей задолженности по договору займа от 11.08.2011 № CFU-1108 и 289 742 634 рублей 80 копеек процентов за пользованием займом за период с 13.08.2011 по 03.12.2020, а также 95 557 381 рубля 83 копеек процентов за пользование чужими денежными средствами за период с 29.03.2018 по 03.12.2020. Решением Арбитражного суда города Москвы от 14.01.2021 требования удовлетворены в полном объеме. 2 Девятый арбитражный апелляционный суд, перешел определением от 30.03.2021 к рассмотрению дела по правилам, установленным АПК РФ для рассмотрения дела в арбитражном суде первой инстанции, привлек к участию в деле в качестве третьих лиц, не заявляющих самостоятельных требований относительно предмета спора, компанию Cintas Finance Company Limited (Синтанс Файненс Компани Лимитед, Республика Кипр), компанию Cube Holdings LTD (Кьюб Холдинг Лтд, Британские Виргинские острова; далее – Компания) и Федеральную службу по финансовому мониторингу. Постановлением Девятого арбитражного апелляционного суда от 17.11.2021, оставленным без изменения постановлением Арбитражного суда Московского округа от 09.03.2022, решение от 14.01.2021 отменено, в удовлетворении иска отказано. Не согласившись с постановлениями апелляционного и окружного судов, Компания обратилась в Верховный Суд Российской Федерации с кассационной жалобой. От заявителя 03.06.2022 в Верховный Суд Российской Федерации поступило ходатайство о возвращении кассационной жалобы. Согласно пункту 4 части 1 статьи 291.5 АПК РФ кассационная жалоба возвращается без рассмотрения по существу, если поступило ходатайство о возвращении или об отзыве кассационной жалобы. В связи с отсутствием оснований для отказа в удовлетворении ходатайства, оно подлежит удовлетворению. Руководствуясь статьей 291.13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компании Cube Holdings LTD (Кьюб Холдинг Лтд) удовлетворить. Кассационную жалобу на постановление Девятого арбитражного апелляционного суда от 17.11.2021 и постановление Арбитражного суда Московского округа от 09.03.2022 по делу № А40-169789/2019 Арбитражного суда города Москвы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