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Пензенской области от 17.09.2021, оставленным без изменения постановлением Одиннадцатого арбитражного апелляционного суда от 21.12.2021 и постановлением Арбитражного суда Поволжского округа от 16.03.2022, заявление удовлетворено. В кассационной жалобе Щенников В.В. просит об отмене судебных актов, ссылаясь на недоказанность законных оснований для признания сделки недействительной, процессуальные нарушения.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продажу во вред имеющимся у должника кредиторам принадлежащих должнику объектов недвижимости в период подозрительности за неравноценное встречное предоставление, поэтому признали оспариваемый договор недействительным в силу пункта 1 статьи 61.2 Федерального закона от 26.10.2002 № 127-ФЗ «О несостоятельности (банкротстве)». Действия судов, которые заявитель считает процессуальными нарушениями, таковыми не являются и не попадают под основания для кассационного пересмотра судебных актов, как и вопросы доказывания и оценки доказательств, положенные в основу доводов жалобы.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Щенникову Владимиру Васильевичу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