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23.07.2021, оставленным без изменения постановлением Десятого арбитражного апелляционного суда от 26.10.2021 и постановлением Арбитражного суда Московского округа от 17.02.2022, в удовлетворении заявленных требований отказано. 2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предприниматель обратился в министерство с заявлением о выдаче разрешения на осуществление деятельности по перевозке пассажиров и багажа легковым такси на территории Московской области. Решением министерства от 26.03.2021 в выдаче разрешения отказано по причине несоответствия представленных документов по форме и содержанию требованиям законодательства. Считая отказ в предоставлении государственной услуги неправомерным, предприниматель обратился в арбитражный суд. Признавая решение министерства законным, суды, оценив представленные в материалы дела доказательства, руководствуясь положениями статьи 9 Федерального закона от 21.04.2011 № 69-ФЗ «О внесении изменений в отдельные законодательные акты Российской Федерации», Административного регламента предоставления государственной услуги «Выдача разрешения, переоформление разрешения на осуществление деятельности по перевозке пассажиров и багажа легковым такси на территории Московской области», пришли к выводу о наличии правовых оснований для отказа предпринимателю в предоставлении государственной услуги ввиду установления недостоверных сведений относительно собственника транспортного средства, которое предполагается использовать для оказания услуг по перевозке пассажиров и багажа легковым такси на территории Московской области. 3 Доводы, изложенные в кассационной жалобе, в том числе со ссылками на судебные акты по иным делам, не опровергают выводы судов и не свидетельствуют о принятии неправильных судебных актов по существу спора с учетом установленных фактических обстоятельств настоящего дела. Приведенные заявителем доводы получили надлежащую правовую оценку судов, существенных нарушений норм материального и процессуального права, повлиявших на исход дела, судами не допущено. Переоценка доказательств и установленных судами фактических обстоятельств спора в силу статьи 2916 Арбитражного процессуального кодекса Российской Федерации не входит в полномочия Судебной коллегии Верховного Суда Российской Федерации.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Хаярову Ренату Фатыховичу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