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«Платон» (далее – общество) обратилось в суд с заявлением о включении в реестр требований кредиторов должника (далее – реестр) 5 080 430 рублей 40 копеек основного долга, 322 023 рубля 93 копейки неустойки. Определением Арбитражного суда Московской области от 29.06.2021, оставленным без изменения постановлениями Десятого арбитражного апелляционного суда от 29.10.2021 и Арбитражного суда Московского округа от 14.02.2022,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установив, что требование общества подтверждено документально, включили его в третью очередь реестра.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«Лизинговая компания «Эксперт-Финанс»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