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правопредшественник кредитора – общество с ограниченной ответственностью «Принтеко» обратилось в суд с жалобой на действия (бездействие) конкурсного управляющего должником Ефимкина Владимира Викторовича. Определением Арбитражного суда города Москвы от 19.10.2021, оставленным без изменения постановлениями Девятого арбитражного апелляционного суда от 22.12.2021 и Арбитражного суда Московского округа от 17.02.2022, производство по заявлению общества «Принтеко» прекращено в связи с принятием отказа от заявленных требований. В кассационной жалобе, поданной в Верховный Суд Российской Федерации, заявитель просит отменить названные судебные акты и направить заявление в арбитражный суд первой инстанции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Прекращая производство по жалобе и подтверждая законность такого прекращения, суды, руководствуясь положениями пункта 1 статьи 183 Гражданского кодекса Российской Федерации, статей 49, 150 Арбитражного процессуального кодекса Российской Федерации, исходили из того, что инициировавшее обособленный спор лицо – общество «Принтеко» – вправе отказаться от предъявленных требований, данный отказ не противоречит закону и не нарушает прав иных кредиторов.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Опарину Евгению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