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подлежало рассмотрению объединённое заявление конкурсного управляющего должником Бедуленко Александра Иосифовича и кредитора второй очереди текущих платежей Некрасовой А.В. о привлечении бывшего руководителя Семендяй Эдгара Викторовича, участников Добровольского Евгения Юрьевича и Серегина Дениса Сергеевича, ликвидаторов Косолаповой Евгении Александровны и Король Д.А. к субсидиарной ответственности по денежным обязательствам должника, взыскании с них в солидарном порядке денежных средств. Определением Арбитражного суда города Москвы от 16.09.2021, оставленным без изменения постановлением Девятого арбитражного апелляционного суда от 11.11.2021, заявление удовлетворено. Постановлением Арбитражного суда Московского округа от 18.03.2022 данные судебные акты частично отменены. В удовлетворении требований о привлечении к субсидиарной ответственности по обязательствам должника Добровольского Е.Ю., Серегина Д.С., а также в части произведения зачета на сумму 251 575 рублей 40 копеек отказано. Обособленный спор в части требований к Косолаповой Е.А. и Семендяю Э.А. отменён и направлен на новое рассмотрение в арбитражный суд первой инстанции. В остальной части принятые по спору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23.05.2022 от Добровольского Е.Ю. поступил отзыв на кассационную жалобу заявителя в порядке, предусмотренном статьей 291.4 Арбитражного процессуального кодекса Российской Федерации.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поступившего на неё отзыва таких оснований не установлено. Отказывая в удовлетворении заявления в части требований к Добровольскому Е.Ю. и Серегину Д.С., суд округа исходил из того, что на дату возникновения у общества признаков банкротства подлежали применению положения Федерального закона от 26.10.2002 № 127-ФЗ «О несостоятельности (банкротстве)» в редакции Федерального закона 28.06.2013 № 134-ФЗ, не предусматривавшей обязанности учредителей должника по обращению в суд с заявлением о признании должника банкротом. Направляя обособленный спор в части требований о привлечении к субсидиарной ответственности по обязательствам должника бывшего руководителя Семендяя Э.В. и первого ликвидатора Косолаповой Е.А., суд округа исходил из необходимости установления всех входящих в предмет доказывания и имеющих существенное значение обстоятельств, в том числе необходимости установления размера обязательств каждого из них при правильном распределении бремени доказывания, оценки приводимых сторонами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и (или)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Некрасовой Алисе Валерьевне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