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17.09.2021, оставленным без изменения постановлением Одиннадцатого арбитражного апелляционного суда от 29.11.2021 и постановлением Арбитражного суда Поволжского округа от 10.02.2022, в удовлетворении заявления отказано. В кассационной жалобе кредиторы просят об отмене судебных актов, ссылаясь на отсутствие возможности легализации самовольной постройки во внесудебном порядке.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обстоятельства приобретения кредиторами спорного помещения не соответствуют требуемым статьями 218, 219 Гражданского кодекса Российской Федерации признакам оснований приобретения права собственности. Являясь самовольной постройкой, в отсутствие разрешительной документации для легализации, помещения правомерно не признаны объектом гражданских прав для цели признания на них права собственности кредиторов. Доводы, приведенные в кассационной жалобе, являлись предметом рассмотрения судов и не создают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Ледяевой Елене Анатольевне и Жидову Алексею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