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27.09.2021, оставленным без изменения постановлением Девятого арбитражного апелляционного суда от 22.12.2021, проценты установлены в сумме 2 099 335 рублей. Арбитражный суд Московского округа постановлением от 17.03.2022 изменил определение от 27.09.2021 и постановление апелляционного суда от 22.12.2021, установив проценты в сумме 1 049 667 рублей 53 копеек. В кассационной жалобе Рыбкина Е.В. просит об отмене постановления окружного суда, ссылаясь на применение неправильной методики расчета процентов.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Учитывая характер процентного вознаграждения, окружной суд обоснованно исчислил его из пришедшейся на удовлетворение требований кредиторов суммы.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Рыбкиной Е.В.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