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18.07.2021, оставленным без изменения постановлением Семнадцатого арбитражного апелляционного суда от 06.10.2021 и постановлением Арбитражного суда Уральского округа от 04.02.2022, в удовлетворении заявления отказано. В кассационных жалобах Караваев В.Г., Клешнин С.И. и Карпов В.А. просят об отмене судебных актов, ссылаясь на надлежащую оценку обстоятельств заключения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оспариваемыми сделками оформлено выбытие должника из участников общества за предоставление, равноценное стоимости доли должника, в отсутствие вреда конкурсной массе, не создающее условий для недействительности сделок в силу статей 10, 168, 170 Гражданского кодекса Российской Федерации. Иная оценка обстоятельств совершения сделок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Караваеву В.Г., Клешнину С.И., Карпову В.А.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