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24.06.2021, оставленным без изменения постановлением Восьмого арбитражного апелляционного суда от 30.09.2021 и постановлением Арбитражного суда Западно-Сибирского округа от 03.02.2022, исковые требования удовлетворены. В кассационной жалобе общество «Мосспецстрой» просит об отмене судебных актов, ссылаясь на применение не соответствующих ранее принятому судебному акту последствий недействительности. В силу части 1 статьи 291.1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учитывая установленные в деле № А75-18061/2019 обстоятельства, установили, что общество «Мосспецстрой» (цессионарий) заплатило за уступку требования денежными средствами общества «Сибтэк», поэтому, не установив получения последним чего-либо по недействительным сделкам, освободили от несения последствий.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«Мосспецстрой»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