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25.08.2021 в удовлетворении заявления отказано. Девятый арбитражный апелляционный суд постановлением от 22.11.2021 отменил определение от 25.08.2021 и заявление удовлетворил. Арбитражный суд Московского округа постановлением от 11.03.2022 постановление апелляционного суда от 22.11.2021 оставил без изменения. В кассационной жалобе Жуков В.Н. просит об отмене судебных актов апелляционного и окружного судов, ссылаясь на игнорирование наличия у квартиры исполнительского иммунитета.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оспаривание сделок должника с несколькими объектами недвижимости, определение распространения на один из которых исполнительского иммунитета потребует проверки добросовестности должника в рамках рассмотрения самостоятельного заявления об исключении имущества из конкурсной массы.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Жукову В.Н.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