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27.10.2021, оставленным без изменения постановлением Одиннадцатого арбитражного апелляционного суда от 27.12.2021 и постановлением Арбитражного суда Поволжского округа от 28.03.2022, в удовлетворении заявления отказано. В кассационной жалобе банк просит об отмене судебных актов, ссылаясь на ненадлежещее исследование обстоятельств расходования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неисполнение банком обязанности доказывания расходования денежных средств на нужды семьи, поэтому признали Савину М.Ф. не обязанной в отношении спорного долга наряду с должником. Доводы кассационной жалобы не подтверждают нарушения норм права и не создают оснований для пересмотра обжалуемых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«Агророс»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