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12.08.2021, оставленным без изменения постановлением Пятнадцатого арбитражного апелляционного суда от 09.12.2021 и постановлением Арбитражного суда Северо-Кавказского округа от 03.03.202, в удовлетворении заявления отказано. В кассационной жалобе Голубев В.Г. просит об отмене судебных актов, ссылаясь на ненадлежащую оценку доказательств наличия спорной суммы и передачи ее должнику.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Руководствуясь статьями 71, 100 Федерального закона от 26.10.2002 № 127-ФЗ «О несостоятельности (банкротстве)», суды признали недоказанность применительно к установленным названными нормами критериям наличия обязательства должника перед кредитором на спорную сумму. Требуемая переоценка обстоятельств спора не создает оснований для пересмотра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Голубеву Владиславу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