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28.09.2021, оставленным без изменения постановлением Пятого арбитражного апелляционного суда от 29.11.2021 и постановлением Арбитражного суда Дальневосточного округа от 11.02.2022, заявление банка признано обоснованным, в отношении должника введена процедура реструктуризация долгов, требования банка включены в реестр, утвержден финансовый управляющий. В кассационной жалобе Гетман П.Н. просит о пересмотре судебных актов, ссылаясь на недобросовестность банка в вопросе реализации заложенного имущества вне процедур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наличие в отношении должника неисполненного судебного акта на сумму в 11 089 462 рубля 35 копеек создает признаки неплатежеспособности и позволяет банку в силу статей 213.1, 213.3, 213.5, 213.6 Федерального закона от 26.10.2002 № 127-ФЗ «О несостоятельности (банкротстве)» инициировать процедуры банкротства. Приведенные в жалобе доводы рассмотрены и учтены судами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Гетману Павлу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