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08.09.2021, оставленным без изменения постановлением Двадцатого арбитражного апелляционного суда от 01.12.2021 и постановлением Арбитражного суда Центрального округа от 17.02.2022,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Тульской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Как следует из судебных актов, компания (заказчик) и общество (подрядчик) 08.08.2018 заключили договор № 11-П/ЮВ (далее – договор) на выполнение работ по строительству объекта. Ссылаясь на неисполнение обществом обязательств по договору, направление в его адрес письма об одностороннем отказе от договора и отсутствие оснований для удержания денежных средств, перечисленных в качестве аванса, компания обратилась в арбитражный суд с первоначальным иском. Встречный иск мотивирован несением убытков в виде расходов на аренду специализированной техники и выполнение подготовительного этапа в части мобилизации сил и разработки проекта производства работ на объекте.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компания перечислила обществу аванс по договору, последнее работы не выполнило, договор между сторонами расторгнут, у общества не имеется оснований для удержания авансового платежа в заявленной сумме (с учетом произведенного компанией зачета встречных однородных требований), факт несения обществом расходов на выполнение подготовительных работ и оплату аренды спецтехники обществом не подтвержден, руководствуясь статьями 15, 309, 310, 450.1, 453, 702, 708, 711, 715, 1102 Гражданского кодекса Российской Федерации, суды первой и апелляционной инстанций пришли к выводу о наличии оснований для удовлетворения первоначального иска и отказа в удовлетворении встречных требований.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 при рассмотрении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Мобильное проектно-строительное объединение «Шахтоспецстрой»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