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Сусенкова Виктора Владимировича в Арбитражный суд Смоленской области обратился финансовый управляющий Овчинников Виталий Альбертович с заявлением о признании недействительным договора купли-продажи транспортного средства от 19.05.2017, заключенного между должником и Никифоровым Алексеем Геннадьевичем, и применении последствий недействительности сделки. Определением Арбитражного суда Смоленской области от 12.10.2020 заявление финансового управляющего удовлетворено; признан недействительным договор купли-продажи автомобиля от 19.05.2017 и применены последствия недействительности сделки в виде обязания Никифорова А.Г. возвратить в конкурсную массу должника спорный автомобиль. Постановлением Двадцатого арбитражного апелляционного суда от 08.11.2021 определение суда первой инстанции изменено; договор купли- продажи признан недействительным, применены последствия недействительности сделки в виде обязания ответчика возвратить автомобиль в 2 конкурсную массу должника и восстановления задолженности должника перед Никифоровым А.Г. в размере 200 000 рублей по спорном договору. Арбитражный суд Центрального округа постановлением от 14.02.2022 постановление суда апелляционной инстанции оставил без изменения. Сусенков Виктор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первой инстанции, установив недобросовестные действия сторон ввиду совершении сделки по цене, значительно ниже рыночной стоимости имущества, и отсутствия возмездности сделки, пришел к выводу о злоупотреблении правом как со стороны покупателя, так и должника, совершении сделки в целях причинения вреда кредиторам должника. Суд апелляционной инстанции, удовлетворив ходатайство о приобщении дополнительных документов и назначении судебной экспертизы, руководствуясь положениями статей 10, 168, 421, 424 Гражданского кодекса Российской Федерации, статьями 61.2, 61.6, 213.32 Федерального закона от 26.10.2002 № 127-ФЗ «О несостоятельности (банкротстве)», разъяснениями, изложенными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 из доказанности заявителем наличия совокупности обстоятельств, необходимой для признания спорной сделки недействительной как совершенной при неравноценном встречном исполнении обязательства. В частности, судом установлено, что в результате заключения должником оспариваемого договора купли-продажи транспортного средства произошло 3 уменьшение размера имущества должника, без соразмерного встречного предоставления, причинен вред имущественным правам кредиторов; признав доказанным наличие у покупателя финансовой возможности по оплате спорного автомобиля наличными денежными средствами, применил двустороннюю реституцию. Суд округа поддержал выводы суда апелляционной инстанции. Доводы жалобы, с учетом установленных фактических обстоятельств спора,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Сусенкову Виктору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