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10.06.2021, оставленным без изменения постановлением Девятого арбитражного апелляционного суда от 08.10.2021 и постановлением Арбитражного суда Московского округа от 08.02.2022,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департамент с заявлением о выдаче разрешения на осуществление деятельности по перевозке пассажиров и багажа легковым такси на территории города Москвы. По результатам рассмотрения заявления департамент пришел к выводу о несоответствии заявления и иных документов, необходимых для предоставления государственной услуги, предъявляемым законодательством требованиям. Данное обстоятельство послужило основанием для отказа в предоставлении государственной услуги в соответствии с пунктом 2.10 Административного регламента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утвержденного постановлением Правительства Москвы от 28.06.2011 № 278-ПП «О мерах по реализации Федерального закона от 21 апреля 2011 г. № 69-ФЗ «О внесении изменений в отдельные законодательные акты Российской Федерации» (далее - Административный регламент), о чем предпринимателю направлено соответствующее уведомление. Считая отказ в предоставлении государственной услуги незаконным, предприниматель обратился с заявлением в арбитражный суд. Оценив представленные в материалы дела доказательства,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пунктами 2.3.2, 2.8.1.4, 2.8.2, 2.10 Административного регламента, пришли к выводу о наличии у департамента правовых оснований для отказа в предоставлении государственной услуги по выдаче предпринимателю требуемого разрешения. Судебные инстанции исходили из того, что заявление предпринимателя содержало недостоверные данные о цвете транспортного средства, которое 3 предполагалось использовать для оказания услуг по перевозке пассажиров и багажа легковым такси на территории города Москвы, цветовой гамме кузова транспортного средства, установленной статьей 2.1 Закона города Москвы от 11.06.2008 № 22 «О легковом такси в городе Москве», что является основанием для отказа в приеме документов, необходимых для предоставления государственной услуги. Вместе с тем суды указали, что в настоящее время предпринимателю выдано требуемое разрешение на перевозку пассажиров и багажа легковым такси. Получение нескольких разрешений на одно транспортное средство не допускается. Приведенные заявителем доводы, в том числе относительно пропуска срока рассмотрения заявления, были предметом рассмотрения судов, получили надлежащую правовую оценку и мотивированно отклонены. Доводов, которые не были проверены и учтены судами при рассмотрении дела, кассационная жалоба не содержит. Существенных нарушений судами норм материального и (или)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291.6 Арбитражного процессуального кодекса Российской Федерации в полномочия Судебной коллегии Верховного Суда Российской Федерации не входит. Учитывая изложенное,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