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«ЛИК-94» обратилось в Арбитражный суд города Санкт-Петербурга и Ленинградской области с иском к обществу с ограниченной ответственностью «Ирмаш» о взыскании 26 968 199 руб. 40 коп. задолженности по договору поставки от 13.03.2017 № 13-03/17ПК и 3 855 150 руб. 81 коп. пеней. Определением Арбитражного суда города Санкт-Петербурга и Ленинградской области от 04.10.2018 утверждено заключенное между сторонами мировое соглашение, производство по делу прекращено. Конкурсный управляющий обществом, не согласившись с определением суда первой инстанции, обратился в Арбитражный суд Северо-Западного округа с кассационной жалобой, одновременно заявив ходатайство о восстановлении пропущенного процессуального срока. Арбитражный суд Северо-Западного округа определением от 30.11.2021, оставленным без изменения определением того же суда от 08.02.2022, возвратил кассационную жалобу заявителя на основании пункта 2 части 1 статьи 281 Арбитражного процессуального кодекса Российской Федерации в связи с отклонением ходатайства о восстановлении пропущенного процессуального срока. 2 В кассационной жалобе, поданной в Верховный Суд Российской Федерации, конкурсный управляющий обществом, ссылаясь на неправильное применение окружным судом норм права, просит отменить его определения.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кассационную жалобу, суд округа руководствовался положениями статей 117, 141, 276, 281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того, что заявителем не представлены доказательства объективности и уважительности причин пропуска процессуального срока на подачу жалобы.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Федерации. Возражения заявителя, изложенные в настоящей жалобе, связанные с основаниями возврата его кассационной жалобы, не могут быть признаны состоятельными, ввиду того, что процессуальный закон связывает возможность восстановления пропущенного срока с наличием не зависящих от заявителя причин, по которым невозможно было обратиться с кассационной жалобой в установленный законом срок. Вместе с тем достаточных обоснований в подтверждение наличия таких причин заявителем не приведено. Вывод суда о пропуске заявителем установленного законом срока для защиты нарушенного права основан на обстоятельствах дела и не подлежит переоценке при рассмотрении дела в порядке кассационного производства в силу части 3 статьи 291.14 Арбитражного процессуального кодекса Российской Федерации. Доводы кассационной жалобы не свидетельствуют о допущенных судом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