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10.08.2021, оставленным без изменения постановлением Девятого арбитражного апелляционного суда от 19.10.2021 и постановлением Арбитражного суда Московского округа от 04.02.2022, в удовлетворении заявления отказано. В кассационной жалобе Черенцов А.Е. просит об отмене судебных актов, ссылаясь на ненадлежащие исследование и оценку доказательств его финансовой состоятельности и факта выдачи займа,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Исследованные обстоятельства возникновения заемных обязательств признаны судами не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находящемуся в банкротстве должнику. Предъявлением в суд общей юрисдикции ненадлежащего иска прерывания и приостановления течения срока исковой давности не происходит.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Чернецову Алексею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