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товариществом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жилья «Шпалерная 26» удовлетворить. Срок подачи кассационной жалобы на решение Арбитражного суда города Санкт-Петербурга и Ленинградской области от 04.02.2021, постановление Тринадцатого арбитражного апелляционного суда от 12.06.2021 и постановление Арбитражного суда Северо-Западного округа от 08.12.2021 по делу № А56-103336/2020 восстановить.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