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Москвы от 06.08.2021, оставленным без изменения постановлением Девятого арбитражного апелляционного суда от 02.11.2021 и постановлением Арбитражного суда Московского округа от 10.02.2022, с компании в пользу общества взыскано 579 237 руб. 92 коп. задолженности, 6009 руб. 99 коп. процентов за пользование чужими денежными средствами,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мотивированы ненадлежащим исполнением компанией (заказчик) обязательств по оплате поставленного обществом (поставщик) товара по договору поставки от 29.10.2018 № 1719187346111412539194936/ВТК-361/1-1666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486, 506, 516 Гражданского кодекса Российской Федерации, установив факт поставки обществом товара компании, учитывая, что условиями договора предусмотрено право компании на удержание неустойки за нарушение обществом сроков поставки товара, признав правомерным начисление и удержание компанией неустойки из стоимости оплаты, не усмотрев оснований для снижения ее размера по правилам статьи 333 Гражданского кодекса Российской Федерации, определив сумму задолженности компании с учетом произведенных ею удержаний, суды первой и апелляционной инстанций частично удовлетворили исковые требования.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«Атри-Групп»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