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18.08.2021, оставленным без изменения постановлением Девятого арбитражного апелляционного суда от 25.10.2021 и постановлением Арбитражного суда Московского округа от 21.02.2022, в удовлетворении заявленных требований отказано.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требования.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ООО «ГРАД» обратилось в антимонопольный орган с жалобой на действия АО «СО ЕЭС» (заказчик) при проведении конкурса в электронной форме на право заключения договора на выполнение работ по реконструкции нежилого здания. Решением управления жалоба признана обоснованной, в действиях заказчика установлено нарушение пункта 2 части 1 статьи 3 Федерального закона от 18.07.2011 № 223-ФЗ «О закупках товаров, работ, услуг отдельными видами юридических лиц» (далее – Закон о закупках). В целях устранения нарушения выдано предписание. Считая ненормативные правовые акты антимонопольного органа незаконными, общество обратилось в арбитражный суд. Оценив представленные в материалы дела доказательства, суды трех инстанций, руководствуясь положениями статей 1, 2, 3 Закона о закупках, статей 8, 435 Гражданского кодекса Российской Федерации, пришли к выводу о наличии у управления правовых оснований для принятия решения и предписания ввиду доказанности неправомерного отклонения заказчиком заявки ООО «ГРАД» по формальным основаниям. Судебные инстанции исходили из того, что указание ООО «ГРАД» в заявке о том, что гарантийный срок на материальные ресурсы, используемые в процессе выполнения работ, будет представлен в соответствии с гарантийным сроком производителя, не противоречит условиям конкурсной документации. 3 При этом данная оферта не ухудшает предложение первоначально поданной заявки, а изложенные в ней условия носят ясный, четкий и недвусмысленный характер. Доводы, изложенные в кассационной жалобе, повторяют позицию общества по спору, являлись предметом рассмотрения судов, получили правовую оценку и не подтверждают существенного нарушения норм материального и процессуального права, повлиявшего на исход дела. Приведенные доводы выражают несогласие с выводами судов ввиду иного применения заявителем положений законодательства к установленным обстоятельствам спора, что не свидетельствует о допущенной при рассмотрении дела судебной ошибке и не может служить основанием для передачи жалобы на рассмотрение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«Системный оператор Единой энергетической 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