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26.07.2021, оставленным без изменения постановлением Восьмого арбитражного апелляционного суда от 02.11.2021 и постановлением Арбитражного суда Западно-Сибирского округа от 08.02.2022, в удовлетворении заявленных требований отказано. В кассационной жалобе налогоплательщик ссылается на нарушение указанными судебными актами его прав и законных интересов в результате неправильного применения и толкования судами норм права при рассмотрении настоящего спора. Согласно пункту 1 части 7 статьи 291.6 Арбитражного процессуального кодекса Российской Федерации по результатам изучения кассационных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оспариваемым решением инспекции, вынесенным по результатам выездной налоговой проверки общества по вопросам правильности исчисления, полноты и своевременности уплаты налогов и сборов за период с 01.01.2015 по 31.12.2016, налогоплательщику доначислены спорные суммы налога на добавленную стоимость и налога на прибыль организаций, а также соответствующие суммы пеней и санкций. Основанием доначисления послужил вывод инспекции о неправомерном отнесении налогоплательщиком к расходам, уменьшающим налогооблагаемую прибыль, затрат по хозяйственным операциям с обществами с ограниченной ответственностью «Ниагара-трейд», «Транслайн», «Спутник» и «Паттерн СК», а также необоснованном применении налоговых вычетов по налогу на добавленную стоимость, уплаченного обществом при совершении спорных хозяйственных операций. При рассмотрении настоящего спора суды, изучив полно и всесторонне представленные сторонами в материалы дела доказательства, оценив их в совокупности и взаимосвязи, установили, что представленные обществом первичные учетные документы не подтверждают реальность спорных хозяйственных операций между ним и указанными контрагентами и направлены на создание фиктивного документооборота в целях получения необоснованной налоговой выгоды в виде незаконного возмещения налога на добавленную стоимость из бюджета и уменьшения налоговой базы по налогу на прибыль за счет включения в состав расходов необоснованных затрат. При этом суды основывали свою позицию на положениях статей 54.1 , 169 , 171 , 172 , 247 , 252 Налогового кодекса Российской Федерации и руководствовались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Основные возражения кассационной жалобы сводятся к переоценке установленных судами фактических обстоятельств и оценке доказательств по делу, что не подтверждает нарушения судами норм права при рассмотрении настоящего дела и не может являться основанием для пересмотра обжалуемых судебных актов в кассационном порядке.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«Производственно-внедренческое предприятие «АБС»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Т.В. Завьялова Российской Федерации Суд: Верховный Суд РФ (подробнее) Судьи дела: Завьялова Т.В.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