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Оценив приведенные предпринимателем причины пропуска процессуального срока подачи кассационной жалобы, учитывая, что ходатайство заявлено в пределах шести месяцев со дня вступления в силу последнего обжалуемого судебного акта, принятого по данному делу, судья усматривает основания для восстановления пропущенного процессуального срока на подачу кассационной жалобы.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города Москвы от 02.07.2021, постановление Девятого арбитражного апелляционного суда от 18.10.2021 и постановление Арбитражного суда Московского округа от 01.02.2022 по делу № А40-81348/2020 восстановить.Судья Верховного Суда Российской Федерации Н.С. Чучунова Суд: Верховный Суд РФ (подробнее) Судьи дела: Чучунова Н.С. (судья) (подробнее) Последние документы по делу: Определение от 6 июня 2022 г. по делу № А40-81348/2020 Определение от 8 апреля 2022 г. по делу № А40-81348/2020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