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26.10.2016 признано обоснованным и подлежащим включению в реестр требований кредиторов должника требование общества с ограниченной ответственностью «Всеволожская промышленная корпорация» в размере 13 975 236 рублей 83 копеек основного долга и 1 885 492 рубля 37 копеек пени. Впоследствии Сабадаш Александр Витальевич обратился в суд с апелляционной жалобой на определение от 26.10.2016, заявив ходатайство о восстановлении пропущенного процессуального срока. Определением Тринадцатого арбитражного апелляционного суда от 13.12.2021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08.02.2022 отменено определение апелляционного суда от 13.12.2021, дело направлено на новое рассмотрение в Тринадцатый арбитражный апелляционный суд.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статьи 61.15 Федерального закона от 26.10.2002 № 127-ФЗ «О несостоятельности (банкротстве)», исходил из несоответствия выводов суда апелляционной инстанции фактическим обстоятельствам дела.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