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Бурнина Вадима Геннадьевича финансовый управляющий имуществом должника Дубарева И.В. обратилась в Арбитражный суд Свердловской области с заявлением, уточненным в порядке статьи 49 Арбитражного процессуального кодекса Российской Федерации, о признании недействительной сделкой договора дарения квартиры от 22.03.2016, заключенного между должником и Бурниным Артемом Вадимовичем, Бурниным Арсением Вадимовичем, и применении последствий недействительности сделки в виде возврата имущества в конкурсную массу должника. К участию в обособленном споре привлечены законный представитель несовершеннолетних Бурнина Артема Вадимовича и Бурнина Арсения Вадимовича - Бурнина Наталья Анатольевна, орган опеки и попечительства по Ленинскому району г. Екатеринбурга. Определением Арбитражного суда Свердловской области от 26.04.2021 в удовлетворении заявления отказано. 2 Постановлением Семнадцатого арбитражного апелляционного суда от 26.11.2021 определение суда первой инстанции оставлено без изменения. Арбитражный суд Уральского округа постановлением от 15.02.2022 указанные судебные акты оставил без изменения. Общество с ограниченной ответственностью «Пулито» (с учетом состоявшегося процессуального правопреемства)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статьей 61.2 Федерального закона от 26.10.2002 № 127-ФЗ «О несостоятельности (банкротстве)», статьями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оспариваемый договор дарения заключен за пределами периода подозрительности, установленного статьей 61.2 Федерального закона «О несостоятельности (банкротстве)»; при этом оснований для признания сделки недействительной по общим основаниям, исходя из конкретных обстоятельств спора, не установлено. В частности, судами установлено, что, заключая оспариваемый договор, должник реализовал свое право на распоряжение принадлежащим ему имуществом в пользу несовершеннолетних детей, которые с рождения проживают в спорной квартире, данная квартира является для них единственным местом жительства. При этом квартира была приобретена должником задолго до возникновения семьи Бурниных, рождения детей, создания общества, по обязательствам которого должник привлечен в дальнейшем к субсидиарной ответственности, целью совершения сделки было 3 обеспечение детей достойными жилищными условиями по месту их фактического проживания ввиду прекращения брачных отношений с супругой. Доказательств, свидетельствующих о совершении сделки исключительно с целью причинения вреда кредиторам, а также мнимости спорной сделки, не представлено.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«Пулито»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