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24.06.2021, оставленным без изменения постановлением Девятого арбитражного апелляционного суда от 13.10.2021 и постановлением Арбитражного суда Московского округа от 16.02.2022,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департамент с заявлением о выдаче разрешения на осуществление деятельности по перевозке пассажиров и багажа легковым такси на территории города Москвы. Решением департамента в выдаче разрешения отказано по причине несоответствия документов требованиям законодательства. Считая решение департамента незаконным, предприниматель обратился в арбитражный суд. Оценив представленные в материалы дела доказательства, суды трех инстанций, руководствуясь положениями статьи 9 Федерального закона от 21.04.2011 № 69-ФЗ «О внесении изменений в отдельные законодательные акты Российской Федерации», пункта 2.10 Административного регламента предоставления государственной услуги города Москвы «Выдача разрешения, переоформление разрешения, выдача дубликата разрешения и аннулирование разрешения на осуществление деятельности по перевозке пассажиров и багажа легковым такси на территории города Москвы», утвержденного постановлением Правительства Москвы от 28.06.2011 № 278-ПП, статьи 2.1 Закона города Москвы от 11.06.2008 № 22 «О легковом такси в городе Москве», пришли к выводу о наличии у департамента правовых оснований для отказа предпринимателю в выдаче разрешения на осуществление деятельности по перевозке пассажиров ввиду представления недостоверных сведений о цвете транспортного средства. Суды отметили, что по состоянию на 03.03.2021 и 12.05.2021 цвет кузова транспортного средства, которое предприниматель предполагал использовать для оказания услуг легкового такси на территории города Москвы, являлся белым, в то время как в представленных сведениях заявителем указан желтый цвет. Ссылка предпринимателя на судебные акты по иным делам подлежит отклонению, поскольку они приняты по обстоятельствам, не являющимся тождественными настоящему делу. Доводы, изложенные в кассационной жалобе, являлись предметом рассмотрения судов, получили надлежащую правовую оценку и с учетом установленных обстоятельств не свидетельствуют о наличии существенных нарушений норм материального и процессуального права, повлиявших на исход дела. 3 Переоценка доказательств и установленных судами фактических обстоятельств спора в силу статьи 2916 Арбитражного процессуального кодекса Российской Федерации в полномочия Судебной коллегии Верховного Суда Российской Федерации не входит.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Хаярову Ренату Фатыховичу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