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05.10.2016 признано обоснованным и подлежащим включению в реестр требований кредиторов должника (далее – реестр) требование банка в размере 633 470 000 рублей основного долга и 107 812 416 рублей 20 копеек процентов. Определением Арбитражного суда города Санкт-Петербурга и Ленинградской области от 14.12.2017 в реестр внесены изменения, требования банка в размере 2 074 896 256 рублей 20 копеек признаны обеспеченными залогом имущества должника. Впоследствии Сабадаш Александр Витальевич обратился в суд с апелляционной жалобой на определение от 14.12.2017, заявив ходатайство о восстановлении пропущенного процессуального срока. Определением Тринадцатого арбитражного апелляционного суда от 21.12.2021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01.03.2022 отменено определение апелляционного суда от 21.12.2021, вопрос о принятии апелляционной жалобы Сабадаша А.В. направлен на новое рассмотрение в Тринадцатый арбитражный апелляционный суд. 2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