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02.09.2021, оставленным без изменения постановлениями Пятнадцатого арбитражного апелляционного суда от 13.11.2021 и Арбитражного суда Северо-Кавказского округа от 11.03.2022, в удовлетворении заявленного требования отказано. В кассационной жалобе общество ставит вопрос об отмене принятых по делу судебных,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2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первичного налогового расчета по авансовому платежу по налогу на имущество организаций за 6 месяцев 2019 года инспекцией принято оспариваемое решение об отказе в привлечении к ответственности за совершение налогового правонарушения, обществу предложено уплатить 105 772 рубля налога на имущество и 4 438 рублей 90 копеек пени. Доначисление оспариваемым решением налога на имущество организаций связано с выводом налогового органа о необоснованном исключении налогоплательщиком из объектов налогообложения объекта основных средств: «Система очистки и отвода сточных вод с территории промплощадки (Новочеркасская ГРЭС), инвентарный номер – 2205_74143, предназначенная для очистки ливневых и талых вод с территории промплощадки».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130, 133.1 Гражданского кодекса Российской Федерации, статей 373, 374, 375, 376, 379, 380, 381 Налогового кодекса Российской Федерации, Закона Ростовской области от 10.05.2012 № 843-ЗС «О налоге на имущество организаций в Ростовской области», Положением по бухгалтерскому учету «Учет основных средств» ПБУ 6/01, утвержденным приказом Министерства финансов Российской Федерации от 30.03.2001 № 26н, правовой позицией Пленума Верховного Суда Российской Федерации, изложенной в пункте 38 постановления от 23.06.2015 № 25 «О применении судами некоторых положений раздела I части первой Гражданского кодекса Российской Федерации», принимая во внимание обстоятельства, установленные по результатам рассмотрения дела № А53-22059/2020, суды пришли к выводу о законности оспариваемого решения инспекции. Судебные инстанции исходили из неправомерного применения обществом в отношении спорного объекта льготы по налогу на имущество. При исследовании обстоятельств дела установлено, что технические и конструктивные характеристики объекта не позволяют отнести данный объект к объектам движимого имущества; спорный объект соответствует понятию «недвижимое имущество». Доводы, изложенные в кассационной жалобе, о необходимости отнесения объекта налогообложения к движимому имуществу, о необоснованном отказе в проведении судебной экспертизы, повторяют позицию общества по спору, являлись предметом рассмотрения судов, не опровергают их выводы, 3 направлены на переоценку установленных обстоятельств и не свидетельствуют о неправильном применении ими норм материального и процессуального права, повлиявшем на исход дела. Несогласие общества с выводами судов,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«Вторая генерирующая компания оптового рынка электроэнергии»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