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20.07.2021, оставленным без изменения постановлением Семнадцатого арбитражного 2 апелляционного суда от 07.10.2021 и постановлением Арбитражного суда Уральского округа от 11.02.2022, заявление удовлетворено. В кассационной жалобе, поданной в Верховный Суд Российской Федерации, управление, ссылаясь на существенное нарушение судами норм права, просит отменить судебные акты.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проверки министерства по вопросу контроля за эффективностью и качеством осуществления переданных ему полномочий Российской Федерации в области водных отношений в части охраны водных объектов или их частей, находящихся в федеральной собственности, управлением составлен акт от 10.09.2020 № 384 и выдано предписание, министерству указано определить границы водных объектов на территории земельного участка с кадастровым номером 66:35:0201001:116 в срок до 01.11.2021. Основанием для принятия предписания послужили выводы о нахождении на территории данного земельного участка, расположенного на окраине поселка Красногвардейский Березовского городского округа, водных объектов: болота Крутиха и родника Крутихинский, границы которых не определены в рамках государственного контракта от 15.07.2019 № Ф.209.422173, заключенного с ООО «ЗемСтройПроект» на выполнение работ по определению границ водоохранных зон, прибрежных защитных полос и береговых линий на водных объектах, расположенных на территории Свердловской области в бассейне реки Пышма. Считая предписание управления незаконным, министерство обратилось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Водного кодекса Российской Федерации, Правилами определения местоположения береговой линии (границы водного объекта), случаев и периодичности ее определения, утвержденными постановлением Правительства Российской Федерации от 29.04.2016 № 377, постановлением Правительства Свердловской области от 16.09.2015 № 832-ПП 3 «О Министерстве природных ресурсов и экологии Свердловской области», пришли к выводу о том, что предписание управления не соответствует положениям действующего законодательства и нарушает права и законные интересы заявителя, с чем согласился суд округа. Судебные инстанции исходили из того, что оспоренное предписание не отвечает принципу исполнимости, не содержит конкретной информации по водным объектам, необходимость определения границ которых возлагается на заявителя. Суды указали, что нормативные акты, поименованные в предписании в обоснование установленных нарушений, имеют противоречивые сведения о водных объектах, отметив, что данным предписанием управление фактически возложило на министерство полномочия, связанные с признанием наличия неопределенного количества водных объектов на проверяемом земельном участке.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изложенные в кассационной жалобе,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Уральскому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